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75" w:rsidRDefault="00B11CCD" w:rsidP="00B11CC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11CCD">
        <w:rPr>
          <w:b/>
          <w:sz w:val="44"/>
          <w:szCs w:val="44"/>
        </w:rPr>
        <w:t>HORSE WEIGH ASSEMBLY INSTRUCTIONS</w:t>
      </w:r>
    </w:p>
    <w:p w:rsidR="00B11CCD" w:rsidRDefault="00B11CCD" w:rsidP="00B11CCD">
      <w:pPr>
        <w:jc w:val="center"/>
        <w:rPr>
          <w:b/>
          <w:sz w:val="44"/>
          <w:szCs w:val="44"/>
        </w:rPr>
      </w:pPr>
    </w:p>
    <w:p w:rsidR="00B11CCD" w:rsidRDefault="00B11CCD" w:rsidP="00B11CCD">
      <w:pPr>
        <w:rPr>
          <w:b/>
          <w:sz w:val="36"/>
          <w:szCs w:val="36"/>
        </w:rPr>
      </w:pPr>
      <w:r w:rsidRPr="00B11CCD">
        <w:rPr>
          <w:b/>
          <w:sz w:val="36"/>
          <w:szCs w:val="36"/>
        </w:rPr>
        <w:t>Tokyo</w:t>
      </w:r>
    </w:p>
    <w:p w:rsidR="00B11CCD" w:rsidRDefault="00B11CCD" w:rsidP="00B11CCD">
      <w:pPr>
        <w:rPr>
          <w:b/>
          <w:sz w:val="36"/>
          <w:szCs w:val="36"/>
        </w:rPr>
      </w:pPr>
    </w:p>
    <w:p w:rsidR="00B11CCD" w:rsidRPr="00B11CCD" w:rsidRDefault="00B11CCD" w:rsidP="00B11CC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</w:tblGrid>
      <w:tr w:rsidR="00B11CCD" w:rsidTr="009304F1">
        <w:tc>
          <w:tcPr>
            <w:tcW w:w="1134" w:type="dxa"/>
          </w:tcPr>
          <w:p w:rsidR="00B11CCD" w:rsidRDefault="004D7955" w:rsidP="00B11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E</w:t>
            </w:r>
          </w:p>
        </w:tc>
        <w:tc>
          <w:tcPr>
            <w:tcW w:w="1418" w:type="dxa"/>
          </w:tcPr>
          <w:p w:rsidR="00B11CCD" w:rsidRDefault="009304F1" w:rsidP="00B11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D7955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1134" w:type="dxa"/>
          </w:tcPr>
          <w:p w:rsidR="00B11CCD" w:rsidRDefault="004D7955" w:rsidP="00B11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E</w:t>
            </w:r>
          </w:p>
        </w:tc>
      </w:tr>
    </w:tbl>
    <w:p w:rsidR="005D6235" w:rsidRPr="005D6235" w:rsidRDefault="00F630F3" w:rsidP="00B11CCD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304F1" w:rsidRPr="005D6235">
        <w:rPr>
          <w:b/>
          <w:sz w:val="32"/>
          <w:szCs w:val="32"/>
        </w:rPr>
        <w:t>Key</w:t>
      </w:r>
    </w:p>
    <w:p w:rsidR="005D6235" w:rsidRPr="005D6235" w:rsidRDefault="00F630F3" w:rsidP="00B11CC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6235" w:rsidRPr="005D6235">
        <w:rPr>
          <w:b/>
          <w:sz w:val="32"/>
          <w:szCs w:val="32"/>
        </w:rPr>
        <w:t>E end section</w:t>
      </w:r>
    </w:p>
    <w:p w:rsidR="005D6235" w:rsidRPr="005D6235" w:rsidRDefault="00F630F3" w:rsidP="00F630F3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6235" w:rsidRPr="005D6235">
        <w:rPr>
          <w:b/>
          <w:sz w:val="32"/>
          <w:szCs w:val="32"/>
        </w:rPr>
        <w:t xml:space="preserve">P platform </w:t>
      </w:r>
      <w:r>
        <w:rPr>
          <w:b/>
          <w:sz w:val="32"/>
          <w:szCs w:val="32"/>
        </w:rPr>
        <w:t>central section</w:t>
      </w:r>
    </w:p>
    <w:p w:rsidR="003A14F6" w:rsidRDefault="003A14F6" w:rsidP="003A14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14F6">
        <w:rPr>
          <w:sz w:val="28"/>
          <w:szCs w:val="28"/>
        </w:rPr>
        <w:t>Please refer to the Golden Rules that were inside the lid of your</w:t>
      </w:r>
      <w:r w:rsidR="00E52635">
        <w:rPr>
          <w:sz w:val="28"/>
          <w:szCs w:val="28"/>
        </w:rPr>
        <w:t xml:space="preserve"> Tokyo </w:t>
      </w:r>
      <w:r w:rsidRPr="003A14F6">
        <w:rPr>
          <w:sz w:val="28"/>
          <w:szCs w:val="28"/>
        </w:rPr>
        <w:t xml:space="preserve">  kit box. </w:t>
      </w:r>
    </w:p>
    <w:p w:rsidR="003A14F6" w:rsidRPr="003A14F6" w:rsidRDefault="003A14F6" w:rsidP="003A14F6">
      <w:pPr>
        <w:ind w:left="360"/>
        <w:rPr>
          <w:sz w:val="28"/>
          <w:szCs w:val="28"/>
        </w:rPr>
      </w:pPr>
    </w:p>
    <w:p w:rsidR="00B11CCD" w:rsidRDefault="00B11CCD" w:rsidP="003A14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14F6">
        <w:rPr>
          <w:sz w:val="28"/>
          <w:szCs w:val="28"/>
        </w:rPr>
        <w:lastRenderedPageBreak/>
        <w:t xml:space="preserve">The three sections will clip together </w:t>
      </w:r>
      <w:r w:rsidR="003A14F6" w:rsidRPr="003A14F6">
        <w:rPr>
          <w:sz w:val="28"/>
          <w:szCs w:val="28"/>
        </w:rPr>
        <w:t>underneath the platform, by using the auto-locating catches.</w:t>
      </w:r>
    </w:p>
    <w:p w:rsidR="00E52635" w:rsidRPr="00E52635" w:rsidRDefault="00E52635" w:rsidP="00E52635">
      <w:pPr>
        <w:pStyle w:val="ListParagraph"/>
        <w:rPr>
          <w:sz w:val="28"/>
          <w:szCs w:val="28"/>
        </w:rPr>
      </w:pPr>
    </w:p>
    <w:p w:rsidR="00E52635" w:rsidRPr="003A14F6" w:rsidRDefault="00E52635" w:rsidP="003A14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44DA">
        <w:rPr>
          <w:sz w:val="28"/>
          <w:szCs w:val="28"/>
        </w:rPr>
        <w:t>Draw the blue cables out to one side, and attach them to the indicator</w:t>
      </w:r>
      <w:r>
        <w:rPr>
          <w:sz w:val="28"/>
          <w:szCs w:val="28"/>
        </w:rPr>
        <w:t xml:space="preserve"> (weight read-out unit)</w:t>
      </w:r>
      <w:r w:rsidRPr="00AD44DA">
        <w:rPr>
          <w:sz w:val="28"/>
          <w:szCs w:val="28"/>
        </w:rPr>
        <w:t>. Make sure that the caps are screwed together so that no dust or</w:t>
      </w:r>
      <w:r w:rsidR="003B6742">
        <w:rPr>
          <w:sz w:val="28"/>
          <w:szCs w:val="28"/>
        </w:rPr>
        <w:t xml:space="preserve"> damp can get in to them. The</w:t>
      </w:r>
      <w:r w:rsidRPr="00AD44DA">
        <w:rPr>
          <w:sz w:val="28"/>
          <w:szCs w:val="28"/>
        </w:rPr>
        <w:t xml:space="preserve"> han</w:t>
      </w:r>
      <w:r w:rsidR="003B6742">
        <w:rPr>
          <w:sz w:val="28"/>
          <w:szCs w:val="28"/>
        </w:rPr>
        <w:t>dler can pick up the indicator</w:t>
      </w:r>
      <w:r w:rsidRPr="00AD44DA">
        <w:rPr>
          <w:sz w:val="28"/>
          <w:szCs w:val="28"/>
        </w:rPr>
        <w:t xml:space="preserve"> once the horse is on the platform or an </w:t>
      </w:r>
      <w:r w:rsidR="003B6742">
        <w:rPr>
          <w:sz w:val="28"/>
          <w:szCs w:val="28"/>
        </w:rPr>
        <w:t>assistant can hold it</w:t>
      </w:r>
      <w:r w:rsidRPr="00AD44DA">
        <w:rPr>
          <w:sz w:val="28"/>
          <w:szCs w:val="28"/>
        </w:rPr>
        <w:t>.</w:t>
      </w:r>
    </w:p>
    <w:p w:rsidR="00D31E18" w:rsidRDefault="00D31E18" w:rsidP="00B11CCD">
      <w:pPr>
        <w:rPr>
          <w:sz w:val="28"/>
          <w:szCs w:val="28"/>
        </w:rPr>
      </w:pPr>
    </w:p>
    <w:p w:rsidR="00D31E18" w:rsidRDefault="00D31E18" w:rsidP="00B11CCD">
      <w:pPr>
        <w:rPr>
          <w:sz w:val="28"/>
          <w:szCs w:val="28"/>
        </w:rPr>
      </w:pPr>
      <w:r>
        <w:rPr>
          <w:sz w:val="28"/>
          <w:szCs w:val="28"/>
        </w:rPr>
        <w:t>For any other queries contact Horse Weigh®</w:t>
      </w:r>
    </w:p>
    <w:p w:rsidR="00D31E18" w:rsidRDefault="00E01FA7" w:rsidP="00B11CCD">
      <w:pPr>
        <w:rPr>
          <w:sz w:val="28"/>
          <w:szCs w:val="28"/>
        </w:rPr>
      </w:pPr>
      <w:r>
        <w:rPr>
          <w:sz w:val="28"/>
          <w:szCs w:val="28"/>
        </w:rPr>
        <w:t>Tel +44 (0) 7774 783247 o</w:t>
      </w:r>
      <w:r w:rsidR="00D31E18">
        <w:rPr>
          <w:sz w:val="28"/>
          <w:szCs w:val="28"/>
        </w:rPr>
        <w:t>r +44 (0)</w:t>
      </w:r>
      <w:r w:rsidR="003A14F6">
        <w:rPr>
          <w:sz w:val="28"/>
          <w:szCs w:val="28"/>
        </w:rPr>
        <w:t>1</w:t>
      </w:r>
      <w:r w:rsidR="00D31E18">
        <w:rPr>
          <w:sz w:val="28"/>
          <w:szCs w:val="28"/>
        </w:rPr>
        <w:t>939 220669</w:t>
      </w:r>
      <w:r w:rsidR="003A14F6">
        <w:rPr>
          <w:sz w:val="28"/>
          <w:szCs w:val="28"/>
        </w:rPr>
        <w:t xml:space="preserve"> </w:t>
      </w:r>
      <w:hyperlink r:id="rId6" w:history="1">
        <w:r w:rsidR="003A14F6" w:rsidRPr="005314A0">
          <w:rPr>
            <w:rStyle w:val="Hyperlink"/>
            <w:sz w:val="28"/>
            <w:szCs w:val="28"/>
          </w:rPr>
          <w:t>william@horseweigh.com</w:t>
        </w:r>
      </w:hyperlink>
    </w:p>
    <w:p w:rsidR="003A14F6" w:rsidRPr="00AD44DA" w:rsidRDefault="003A14F6" w:rsidP="00B11CCD">
      <w:pPr>
        <w:rPr>
          <w:sz w:val="28"/>
          <w:szCs w:val="28"/>
        </w:rPr>
      </w:pPr>
    </w:p>
    <w:p w:rsidR="00AD44DA" w:rsidRDefault="00AD44DA" w:rsidP="00B11C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30F3" w:rsidRDefault="00F630F3" w:rsidP="00B11CCD">
      <w:pPr>
        <w:rPr>
          <w:b/>
          <w:sz w:val="28"/>
          <w:szCs w:val="28"/>
        </w:rPr>
      </w:pPr>
    </w:p>
    <w:p w:rsidR="00F630F3" w:rsidRDefault="00F630F3" w:rsidP="00B11CCD">
      <w:pPr>
        <w:rPr>
          <w:b/>
          <w:sz w:val="28"/>
          <w:szCs w:val="28"/>
        </w:rPr>
      </w:pPr>
    </w:p>
    <w:p w:rsidR="00F630F3" w:rsidRDefault="00F630F3" w:rsidP="00B11CCD">
      <w:pPr>
        <w:rPr>
          <w:b/>
          <w:sz w:val="28"/>
          <w:szCs w:val="28"/>
        </w:rPr>
      </w:pPr>
    </w:p>
    <w:p w:rsidR="00F630F3" w:rsidRDefault="00F630F3" w:rsidP="00E52635">
      <w:pPr>
        <w:jc w:val="center"/>
        <w:rPr>
          <w:b/>
          <w:sz w:val="28"/>
          <w:szCs w:val="28"/>
        </w:rPr>
      </w:pPr>
    </w:p>
    <w:p w:rsidR="00334C84" w:rsidRDefault="00334C84" w:rsidP="00E52635">
      <w:pPr>
        <w:jc w:val="center"/>
        <w:rPr>
          <w:b/>
          <w:sz w:val="44"/>
          <w:szCs w:val="44"/>
        </w:rPr>
      </w:pPr>
      <w:r w:rsidRPr="00B11CCD">
        <w:rPr>
          <w:b/>
          <w:sz w:val="44"/>
          <w:szCs w:val="44"/>
        </w:rPr>
        <w:lastRenderedPageBreak/>
        <w:t>HORSE WEIGH ASSEMBLY INSTRUCTIONS</w:t>
      </w:r>
    </w:p>
    <w:p w:rsidR="00F630F3" w:rsidRDefault="00F630F3" w:rsidP="00B11CCD">
      <w:pPr>
        <w:rPr>
          <w:b/>
          <w:sz w:val="28"/>
          <w:szCs w:val="28"/>
        </w:rPr>
      </w:pPr>
    </w:p>
    <w:p w:rsidR="00AD44DA" w:rsidRDefault="00AD44DA" w:rsidP="00B11CCD">
      <w:pPr>
        <w:rPr>
          <w:b/>
          <w:sz w:val="36"/>
          <w:szCs w:val="36"/>
        </w:rPr>
      </w:pPr>
      <w:r w:rsidRPr="00AD44DA">
        <w:rPr>
          <w:b/>
          <w:sz w:val="36"/>
          <w:szCs w:val="36"/>
        </w:rPr>
        <w:t xml:space="preserve">Tokyo </w:t>
      </w:r>
      <w:r>
        <w:rPr>
          <w:b/>
          <w:sz w:val="36"/>
          <w:szCs w:val="36"/>
        </w:rPr>
        <w:t>–</w:t>
      </w:r>
      <w:r w:rsidR="009304F1">
        <w:rPr>
          <w:b/>
          <w:sz w:val="36"/>
          <w:szCs w:val="36"/>
        </w:rPr>
        <w:t xml:space="preserve"> T</w:t>
      </w:r>
      <w:r w:rsidRPr="00AD44DA">
        <w:rPr>
          <w:b/>
          <w:sz w:val="36"/>
          <w:szCs w:val="36"/>
        </w:rPr>
        <w:t>horoughbred</w:t>
      </w:r>
      <w:r w:rsidR="00F630F3">
        <w:rPr>
          <w:b/>
          <w:sz w:val="36"/>
          <w:szCs w:val="36"/>
        </w:rPr>
        <w:tab/>
      </w:r>
      <w:r w:rsidR="00F630F3">
        <w:rPr>
          <w:b/>
          <w:sz w:val="36"/>
          <w:szCs w:val="36"/>
        </w:rPr>
        <w:tab/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32"/>
        <w:gridCol w:w="1797"/>
        <w:gridCol w:w="708"/>
        <w:gridCol w:w="709"/>
      </w:tblGrid>
      <w:tr w:rsidR="00AD44DA" w:rsidTr="00AD44DA">
        <w:trPr>
          <w:trHeight w:val="492"/>
        </w:trPr>
        <w:tc>
          <w:tcPr>
            <w:tcW w:w="708" w:type="dxa"/>
          </w:tcPr>
          <w:p w:rsidR="00AD44DA" w:rsidRDefault="00AD44DA" w:rsidP="00AD44DA">
            <w:pPr>
              <w:ind w:left="-2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R</w:t>
            </w:r>
          </w:p>
        </w:tc>
        <w:tc>
          <w:tcPr>
            <w:tcW w:w="732" w:type="dxa"/>
            <w:shd w:val="clear" w:color="auto" w:fill="auto"/>
          </w:tcPr>
          <w:p w:rsidR="00AD44DA" w:rsidRDefault="00AD4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E</w:t>
            </w:r>
          </w:p>
        </w:tc>
        <w:tc>
          <w:tcPr>
            <w:tcW w:w="1797" w:type="dxa"/>
            <w:shd w:val="clear" w:color="auto" w:fill="auto"/>
          </w:tcPr>
          <w:p w:rsidR="00AD44DA" w:rsidRDefault="00AD4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P</w:t>
            </w:r>
          </w:p>
        </w:tc>
        <w:tc>
          <w:tcPr>
            <w:tcW w:w="708" w:type="dxa"/>
            <w:shd w:val="clear" w:color="auto" w:fill="auto"/>
          </w:tcPr>
          <w:p w:rsidR="00AD44DA" w:rsidRDefault="00AD4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E</w:t>
            </w:r>
          </w:p>
        </w:tc>
        <w:tc>
          <w:tcPr>
            <w:tcW w:w="709" w:type="dxa"/>
            <w:shd w:val="clear" w:color="auto" w:fill="auto"/>
          </w:tcPr>
          <w:p w:rsidR="00AD44DA" w:rsidRDefault="00AD44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R</w:t>
            </w:r>
          </w:p>
        </w:tc>
      </w:tr>
    </w:tbl>
    <w:p w:rsidR="00F630F3" w:rsidRDefault="00AD44DA" w:rsidP="00B11CC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F630F3">
        <w:rPr>
          <w:b/>
          <w:sz w:val="28"/>
          <w:szCs w:val="28"/>
        </w:rPr>
        <w:t xml:space="preserve">     </w:t>
      </w:r>
      <w:r w:rsidR="00F630F3">
        <w:rPr>
          <w:b/>
          <w:sz w:val="32"/>
          <w:szCs w:val="32"/>
        </w:rPr>
        <w:t>Key</w:t>
      </w:r>
    </w:p>
    <w:p w:rsidR="00AD44DA" w:rsidRPr="00F630F3" w:rsidRDefault="00F630F3" w:rsidP="00F630F3">
      <w:pPr>
        <w:ind w:left="432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AD44DA" w:rsidRPr="00F630F3">
        <w:rPr>
          <w:b/>
          <w:sz w:val="32"/>
          <w:szCs w:val="32"/>
        </w:rPr>
        <w:t>R ramp</w:t>
      </w:r>
    </w:p>
    <w:p w:rsidR="00AD44DA" w:rsidRPr="00F630F3" w:rsidRDefault="00F630F3" w:rsidP="00B11CC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  <w:r w:rsidR="00AD44DA" w:rsidRPr="00F630F3">
        <w:rPr>
          <w:b/>
          <w:sz w:val="32"/>
          <w:szCs w:val="32"/>
        </w:rPr>
        <w:t>E end section</w:t>
      </w:r>
    </w:p>
    <w:p w:rsidR="00AD44DA" w:rsidRDefault="00F630F3" w:rsidP="00AD44DA">
      <w:pPr>
        <w:ind w:left="288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AD44DA" w:rsidRPr="00F630F3">
        <w:rPr>
          <w:b/>
          <w:sz w:val="32"/>
          <w:szCs w:val="32"/>
        </w:rPr>
        <w:t>P platform central</w:t>
      </w:r>
      <w:r w:rsidR="009759BD" w:rsidRPr="00F630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section</w:t>
      </w:r>
      <w:r w:rsidR="00AD44DA" w:rsidRPr="00F630F3">
        <w:rPr>
          <w:b/>
          <w:sz w:val="32"/>
          <w:szCs w:val="32"/>
        </w:rPr>
        <w:tab/>
      </w:r>
      <w:r w:rsidR="00AD44DA" w:rsidRPr="00F630F3">
        <w:rPr>
          <w:b/>
          <w:sz w:val="32"/>
          <w:szCs w:val="32"/>
        </w:rPr>
        <w:tab/>
      </w:r>
      <w:r w:rsidR="00AD44DA" w:rsidRPr="00F630F3">
        <w:rPr>
          <w:b/>
          <w:sz w:val="32"/>
          <w:szCs w:val="32"/>
        </w:rPr>
        <w:tab/>
      </w:r>
      <w:r w:rsidR="00AD44DA" w:rsidRPr="00F630F3">
        <w:rPr>
          <w:b/>
          <w:sz w:val="32"/>
          <w:szCs w:val="32"/>
        </w:rPr>
        <w:tab/>
      </w:r>
      <w:r w:rsidR="00AD44DA" w:rsidRPr="00F630F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</w:p>
    <w:p w:rsidR="00E52635" w:rsidRDefault="00E52635" w:rsidP="00E52635">
      <w:pPr>
        <w:pStyle w:val="NoSpacing"/>
        <w:rPr>
          <w:sz w:val="28"/>
          <w:szCs w:val="28"/>
        </w:rPr>
      </w:pPr>
    </w:p>
    <w:p w:rsidR="003A14F6" w:rsidRDefault="003A14F6" w:rsidP="00E526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refer to the Tokyo</w:t>
      </w:r>
      <w:r w:rsidR="003B6742">
        <w:rPr>
          <w:sz w:val="28"/>
          <w:szCs w:val="28"/>
        </w:rPr>
        <w:t>-</w:t>
      </w:r>
      <w:r w:rsidR="00E52635">
        <w:rPr>
          <w:sz w:val="28"/>
          <w:szCs w:val="28"/>
        </w:rPr>
        <w:t xml:space="preserve"> Thoro</w:t>
      </w:r>
      <w:r w:rsidR="003B6742">
        <w:rPr>
          <w:sz w:val="28"/>
          <w:szCs w:val="28"/>
        </w:rPr>
        <w:t>u</w:t>
      </w:r>
      <w:r w:rsidR="00E52635">
        <w:rPr>
          <w:sz w:val="28"/>
          <w:szCs w:val="28"/>
        </w:rPr>
        <w:t>ghbred</w:t>
      </w:r>
      <w:r w:rsidR="003B6742">
        <w:rPr>
          <w:sz w:val="28"/>
          <w:szCs w:val="28"/>
        </w:rPr>
        <w:t xml:space="preserve"> Golden R</w:t>
      </w:r>
      <w:r w:rsidR="00E01FA7">
        <w:rPr>
          <w:sz w:val="28"/>
          <w:szCs w:val="28"/>
        </w:rPr>
        <w:t>ules that a</w:t>
      </w:r>
      <w:r>
        <w:rPr>
          <w:sz w:val="28"/>
          <w:szCs w:val="28"/>
        </w:rPr>
        <w:t>re inside the lid of your Tokyo</w:t>
      </w:r>
      <w:r w:rsidR="00E01FA7">
        <w:rPr>
          <w:sz w:val="28"/>
          <w:szCs w:val="28"/>
        </w:rPr>
        <w:t xml:space="preserve"> -Th</w:t>
      </w:r>
      <w:r w:rsidR="003B6742">
        <w:rPr>
          <w:sz w:val="28"/>
          <w:szCs w:val="28"/>
        </w:rPr>
        <w:t>o</w:t>
      </w:r>
      <w:r w:rsidR="00E01FA7">
        <w:rPr>
          <w:sz w:val="28"/>
          <w:szCs w:val="28"/>
        </w:rPr>
        <w:t>ro</w:t>
      </w:r>
      <w:r w:rsidR="003B6742">
        <w:rPr>
          <w:sz w:val="28"/>
          <w:szCs w:val="28"/>
        </w:rPr>
        <w:t>ughbred</w:t>
      </w:r>
      <w:r>
        <w:rPr>
          <w:sz w:val="28"/>
          <w:szCs w:val="28"/>
        </w:rPr>
        <w:t xml:space="preserve"> kit box</w:t>
      </w:r>
    </w:p>
    <w:p w:rsidR="003A14F6" w:rsidRPr="003A14F6" w:rsidRDefault="003A14F6" w:rsidP="003A14F6">
      <w:pPr>
        <w:pStyle w:val="NoSpacing"/>
        <w:ind w:left="720"/>
        <w:rPr>
          <w:sz w:val="28"/>
          <w:szCs w:val="28"/>
        </w:rPr>
      </w:pPr>
    </w:p>
    <w:p w:rsidR="00334C84" w:rsidRDefault="00683EEC" w:rsidP="003A14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1E18">
        <w:rPr>
          <w:sz w:val="28"/>
          <w:szCs w:val="28"/>
        </w:rPr>
        <w:t>Asse</w:t>
      </w:r>
      <w:r w:rsidR="003B6742">
        <w:rPr>
          <w:sz w:val="28"/>
          <w:szCs w:val="28"/>
        </w:rPr>
        <w:t>mble as above</w:t>
      </w:r>
      <w:r w:rsidR="00E01FA7">
        <w:rPr>
          <w:sz w:val="28"/>
          <w:szCs w:val="28"/>
        </w:rPr>
        <w:t>, as</w:t>
      </w:r>
      <w:r w:rsidR="003B6742">
        <w:rPr>
          <w:sz w:val="28"/>
          <w:szCs w:val="28"/>
        </w:rPr>
        <w:t xml:space="preserve"> for the Tokyo, and</w:t>
      </w:r>
      <w:r w:rsidR="00334C84">
        <w:rPr>
          <w:sz w:val="28"/>
          <w:szCs w:val="28"/>
        </w:rPr>
        <w:t xml:space="preserve"> add the ramps at each end.</w:t>
      </w:r>
    </w:p>
    <w:p w:rsidR="00334C84" w:rsidRDefault="00334C84" w:rsidP="00683EEC">
      <w:pPr>
        <w:pStyle w:val="NoSpacing"/>
        <w:rPr>
          <w:sz w:val="28"/>
          <w:szCs w:val="28"/>
        </w:rPr>
      </w:pPr>
    </w:p>
    <w:p w:rsidR="00334C84" w:rsidRDefault="00D86071" w:rsidP="003A14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join the three pieces of each guide rail you will need the</w:t>
      </w:r>
      <w:r w:rsidR="009759BD" w:rsidRPr="00683EEC">
        <w:rPr>
          <w:sz w:val="28"/>
          <w:szCs w:val="28"/>
        </w:rPr>
        <w:t xml:space="preserve"> </w:t>
      </w:r>
      <w:r w:rsidR="00974C80">
        <w:rPr>
          <w:sz w:val="28"/>
          <w:szCs w:val="28"/>
        </w:rPr>
        <w:t>alle</w:t>
      </w:r>
      <w:r w:rsidR="009759BD" w:rsidRPr="00683EEC">
        <w:rPr>
          <w:sz w:val="28"/>
          <w:szCs w:val="28"/>
        </w:rPr>
        <w:t>n</w:t>
      </w:r>
      <w:r w:rsidR="00FE197F">
        <w:rPr>
          <w:sz w:val="28"/>
          <w:szCs w:val="28"/>
        </w:rPr>
        <w:t xml:space="preserve"> key</w:t>
      </w:r>
      <w:r w:rsidR="00E01FA7">
        <w:rPr>
          <w:sz w:val="28"/>
          <w:szCs w:val="28"/>
        </w:rPr>
        <w:t xml:space="preserve"> (black hexagonal key)</w:t>
      </w:r>
      <w:r w:rsidR="00FE197F">
        <w:rPr>
          <w:sz w:val="28"/>
          <w:szCs w:val="28"/>
        </w:rPr>
        <w:t xml:space="preserve"> </w:t>
      </w:r>
      <w:r w:rsidR="0043107C">
        <w:rPr>
          <w:sz w:val="28"/>
          <w:szCs w:val="28"/>
        </w:rPr>
        <w:t>which is stored in the lid of t</w:t>
      </w:r>
      <w:r w:rsidR="004751B9">
        <w:rPr>
          <w:sz w:val="28"/>
          <w:szCs w:val="28"/>
        </w:rPr>
        <w:t>he box, behind the Golden Rules.</w:t>
      </w:r>
      <w:r w:rsidR="003576FF">
        <w:rPr>
          <w:sz w:val="28"/>
          <w:szCs w:val="28"/>
        </w:rPr>
        <w:t xml:space="preserve"> Please make sure that each rail </w:t>
      </w:r>
      <w:r w:rsidR="004751B9">
        <w:rPr>
          <w:sz w:val="28"/>
          <w:szCs w:val="28"/>
        </w:rPr>
        <w:t>is assembled with its marked fri</w:t>
      </w:r>
      <w:r w:rsidR="00974C80">
        <w:rPr>
          <w:sz w:val="28"/>
          <w:szCs w:val="28"/>
        </w:rPr>
        <w:t>end’</w:t>
      </w:r>
      <w:r w:rsidR="003576FF">
        <w:rPr>
          <w:sz w:val="28"/>
          <w:szCs w:val="28"/>
        </w:rPr>
        <w:t>s with 1s and 2s with 2s.</w:t>
      </w:r>
      <w:r w:rsidR="0043107C">
        <w:rPr>
          <w:sz w:val="28"/>
          <w:szCs w:val="28"/>
        </w:rPr>
        <w:t xml:space="preserve"> Once assembled, take off the bottom nut. </w:t>
      </w:r>
      <w:r w:rsidR="004751B9">
        <w:rPr>
          <w:sz w:val="28"/>
          <w:szCs w:val="28"/>
        </w:rPr>
        <w:t>The rails</w:t>
      </w:r>
      <w:r w:rsidR="009759BD" w:rsidRPr="00683EEC">
        <w:rPr>
          <w:sz w:val="28"/>
          <w:szCs w:val="28"/>
        </w:rPr>
        <w:t xml:space="preserve"> will n</w:t>
      </w:r>
      <w:r w:rsidR="003B6742">
        <w:rPr>
          <w:sz w:val="28"/>
          <w:szCs w:val="28"/>
        </w:rPr>
        <w:t>ow d</w:t>
      </w:r>
      <w:r w:rsidR="004751B9">
        <w:rPr>
          <w:sz w:val="28"/>
          <w:szCs w:val="28"/>
        </w:rPr>
        <w:t>rop into the</w:t>
      </w:r>
      <w:r w:rsidR="0043107C">
        <w:rPr>
          <w:sz w:val="28"/>
          <w:szCs w:val="28"/>
        </w:rPr>
        <w:t xml:space="preserve"> holes in</w:t>
      </w:r>
      <w:r w:rsidR="009759BD" w:rsidRPr="00683EEC">
        <w:rPr>
          <w:sz w:val="28"/>
          <w:szCs w:val="28"/>
        </w:rPr>
        <w:t xml:space="preserve"> the platform.</w:t>
      </w:r>
      <w:r w:rsidR="00974C80">
        <w:rPr>
          <w:sz w:val="28"/>
          <w:szCs w:val="28"/>
        </w:rPr>
        <w:t xml:space="preserve"> Replace nut on the under</w:t>
      </w:r>
      <w:r w:rsidR="003576FF">
        <w:rPr>
          <w:sz w:val="28"/>
          <w:szCs w:val="28"/>
        </w:rPr>
        <w:t>side. The top nut must be tight at all times. Both nuts, above and below, tighten left to right (anti-clockwise).</w:t>
      </w:r>
      <w:r w:rsidR="003607BD">
        <w:rPr>
          <w:sz w:val="28"/>
          <w:szCs w:val="28"/>
        </w:rPr>
        <w:t xml:space="preserve"> </w:t>
      </w:r>
    </w:p>
    <w:p w:rsidR="00334C84" w:rsidRDefault="009759BD" w:rsidP="00683EEC">
      <w:pPr>
        <w:pStyle w:val="NoSpacing"/>
        <w:rPr>
          <w:sz w:val="28"/>
          <w:szCs w:val="28"/>
        </w:rPr>
      </w:pPr>
      <w:r w:rsidRPr="00683EEC">
        <w:rPr>
          <w:sz w:val="28"/>
          <w:szCs w:val="28"/>
        </w:rPr>
        <w:t xml:space="preserve"> </w:t>
      </w:r>
    </w:p>
    <w:p w:rsidR="00334C84" w:rsidRDefault="009759BD" w:rsidP="003A14F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83EEC">
        <w:rPr>
          <w:sz w:val="28"/>
          <w:szCs w:val="28"/>
        </w:rPr>
        <w:t>The blue cables can be drawn out from under the platform</w:t>
      </w:r>
      <w:r w:rsidR="00F77160">
        <w:rPr>
          <w:sz w:val="28"/>
          <w:szCs w:val="28"/>
        </w:rPr>
        <w:t xml:space="preserve"> and connected to the indicator,</w:t>
      </w:r>
      <w:r w:rsidR="00334C84">
        <w:rPr>
          <w:sz w:val="28"/>
          <w:szCs w:val="28"/>
        </w:rPr>
        <w:t xml:space="preserve"> (weight read-out unit)</w:t>
      </w:r>
      <w:r w:rsidR="00F77160">
        <w:rPr>
          <w:sz w:val="28"/>
          <w:szCs w:val="28"/>
        </w:rPr>
        <w:t xml:space="preserve"> which is attached to the board on the guide rail.</w:t>
      </w:r>
    </w:p>
    <w:p w:rsidR="00334C84" w:rsidRDefault="00334C84" w:rsidP="00683EEC">
      <w:pPr>
        <w:pStyle w:val="NoSpacing"/>
        <w:rPr>
          <w:sz w:val="28"/>
          <w:szCs w:val="28"/>
        </w:rPr>
      </w:pPr>
    </w:p>
    <w:p w:rsidR="009759BD" w:rsidRDefault="009759BD" w:rsidP="003B67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83EEC">
        <w:rPr>
          <w:sz w:val="28"/>
          <w:szCs w:val="28"/>
        </w:rPr>
        <w:t xml:space="preserve">Please make sure that the feet of the platform are </w:t>
      </w:r>
      <w:r w:rsidRPr="00974C80">
        <w:rPr>
          <w:b/>
          <w:sz w:val="28"/>
          <w:szCs w:val="28"/>
        </w:rPr>
        <w:t>not</w:t>
      </w:r>
      <w:r w:rsidRPr="00683EEC">
        <w:rPr>
          <w:sz w:val="28"/>
          <w:szCs w:val="28"/>
        </w:rPr>
        <w:t xml:space="preserve"> on top of the </w:t>
      </w:r>
      <w:r w:rsidR="003B6742">
        <w:rPr>
          <w:sz w:val="28"/>
          <w:szCs w:val="28"/>
        </w:rPr>
        <w:t xml:space="preserve">blue       </w:t>
      </w:r>
    </w:p>
    <w:p w:rsidR="003576FF" w:rsidRDefault="003B6742" w:rsidP="003576FF">
      <w:pPr>
        <w:pStyle w:val="NoSpacing"/>
        <w:ind w:left="720"/>
        <w:rPr>
          <w:sz w:val="28"/>
          <w:szCs w:val="28"/>
        </w:rPr>
      </w:pPr>
      <w:r w:rsidRPr="003B6742">
        <w:rPr>
          <w:sz w:val="28"/>
          <w:szCs w:val="28"/>
        </w:rPr>
        <w:t>cables.</w:t>
      </w:r>
    </w:p>
    <w:p w:rsidR="004751B9" w:rsidRDefault="004751B9" w:rsidP="003576FF">
      <w:pPr>
        <w:pStyle w:val="NoSpacing"/>
        <w:ind w:left="720"/>
        <w:rPr>
          <w:sz w:val="28"/>
          <w:szCs w:val="28"/>
        </w:rPr>
      </w:pPr>
    </w:p>
    <w:p w:rsidR="003B6742" w:rsidRDefault="00974C80" w:rsidP="00974C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E18">
        <w:rPr>
          <w:sz w:val="28"/>
          <w:szCs w:val="28"/>
        </w:rPr>
        <w:t>For all other queries contact Horse Weigh®</w:t>
      </w:r>
    </w:p>
    <w:p w:rsidR="009759BD" w:rsidRPr="009759BD" w:rsidRDefault="00974C80" w:rsidP="00E01F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E18">
        <w:rPr>
          <w:sz w:val="28"/>
          <w:szCs w:val="28"/>
        </w:rPr>
        <w:t>Tel +44 (0) 7774 783247 or +44 (0)1939 220669</w:t>
      </w:r>
      <w:r w:rsidR="003B6742">
        <w:rPr>
          <w:sz w:val="28"/>
          <w:szCs w:val="28"/>
        </w:rPr>
        <w:t xml:space="preserve"> </w:t>
      </w:r>
      <w:hyperlink r:id="rId7" w:history="1">
        <w:r w:rsidR="00334C84" w:rsidRPr="00C06843">
          <w:rPr>
            <w:rStyle w:val="Hyperlink"/>
            <w:sz w:val="28"/>
            <w:szCs w:val="28"/>
          </w:rPr>
          <w:t>william@horseweigh.com</w:t>
        </w:r>
      </w:hyperlink>
    </w:p>
    <w:sectPr w:rsidR="009759BD" w:rsidRPr="0097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E77"/>
    <w:multiLevelType w:val="hybridMultilevel"/>
    <w:tmpl w:val="0302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37988"/>
    <w:multiLevelType w:val="hybridMultilevel"/>
    <w:tmpl w:val="FA24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D"/>
    <w:rsid w:val="00082F32"/>
    <w:rsid w:val="000C7F65"/>
    <w:rsid w:val="00334C84"/>
    <w:rsid w:val="003576FF"/>
    <w:rsid w:val="003607BD"/>
    <w:rsid w:val="003A14F6"/>
    <w:rsid w:val="003A6EE6"/>
    <w:rsid w:val="003B6742"/>
    <w:rsid w:val="0043107C"/>
    <w:rsid w:val="00474CB8"/>
    <w:rsid w:val="004751B9"/>
    <w:rsid w:val="004C4B7B"/>
    <w:rsid w:val="004D7955"/>
    <w:rsid w:val="005D6235"/>
    <w:rsid w:val="00683EEC"/>
    <w:rsid w:val="009304F1"/>
    <w:rsid w:val="00974C80"/>
    <w:rsid w:val="009759BD"/>
    <w:rsid w:val="00AD44DA"/>
    <w:rsid w:val="00B11CCD"/>
    <w:rsid w:val="00B7689B"/>
    <w:rsid w:val="00C70007"/>
    <w:rsid w:val="00CD5E50"/>
    <w:rsid w:val="00D31E18"/>
    <w:rsid w:val="00D86071"/>
    <w:rsid w:val="00E01FA7"/>
    <w:rsid w:val="00E51A75"/>
    <w:rsid w:val="00E52635"/>
    <w:rsid w:val="00EA7280"/>
    <w:rsid w:val="00EB043E"/>
    <w:rsid w:val="00F630F3"/>
    <w:rsid w:val="00F77160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37AA7-4FBB-40B1-AD4F-F391430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liam@horseweig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@horseweig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5E41-69C2-4E79-A6CD-8ADFB07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Ellis</dc:creator>
  <cp:keywords/>
  <dc:description/>
  <cp:lastModifiedBy>Georgie Ellis</cp:lastModifiedBy>
  <cp:revision>2</cp:revision>
  <cp:lastPrinted>2016-09-26T17:14:00Z</cp:lastPrinted>
  <dcterms:created xsi:type="dcterms:W3CDTF">2018-04-18T11:32:00Z</dcterms:created>
  <dcterms:modified xsi:type="dcterms:W3CDTF">2018-04-18T11:32:00Z</dcterms:modified>
</cp:coreProperties>
</file>